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220D3" w:rsidR="009042C8" w:rsidP="0067735E" w:rsidRDefault="008270CD" w14:paraId="1D41BDF1" w14:textId="44A2EC33">
      <w:pPr>
        <w:spacing w:after="60"/>
        <w:jc w:val="center"/>
        <w:rPr>
          <w:b w:val="1"/>
          <w:bCs w:val="1"/>
          <w:color w:val="1F3864" w:themeColor="accent1" w:themeShade="80"/>
          <w:sz w:val="32"/>
          <w:szCs w:val="32"/>
        </w:rPr>
      </w:pPr>
      <w:r w:rsidRPr="4654FE23" w:rsidR="008270CD">
        <w:rPr>
          <w:b w:val="1"/>
          <w:bCs w:val="1"/>
          <w:color w:val="1F3864" w:themeColor="accent1" w:themeTint="FF" w:themeShade="80"/>
          <w:sz w:val="32"/>
          <w:szCs w:val="32"/>
        </w:rPr>
        <w:t>Feedback</w:t>
      </w:r>
      <w:r w:rsidRPr="4654FE23" w:rsidR="008270CD">
        <w:rPr>
          <w:b w:val="1"/>
          <w:bCs w:val="1"/>
          <w:color w:val="1F3864" w:themeColor="accent1" w:themeTint="FF" w:themeShade="80"/>
          <w:sz w:val="32"/>
          <w:szCs w:val="32"/>
        </w:rPr>
        <w:t xml:space="preserve"> </w:t>
      </w:r>
      <w:r w:rsidRPr="4654FE23" w:rsidR="00753AC4">
        <w:rPr>
          <w:b w:val="1"/>
          <w:bCs w:val="1"/>
          <w:color w:val="1F3864" w:themeColor="accent1" w:themeTint="FF" w:themeShade="80"/>
          <w:sz w:val="32"/>
          <w:szCs w:val="32"/>
        </w:rPr>
        <w:t>T</w:t>
      </w:r>
      <w:r w:rsidRPr="4654FE23" w:rsidR="008270CD">
        <w:rPr>
          <w:b w:val="1"/>
          <w:bCs w:val="1"/>
          <w:color w:val="1F3864" w:themeColor="accent1" w:themeTint="FF" w:themeShade="80"/>
          <w:sz w:val="32"/>
          <w:szCs w:val="32"/>
        </w:rPr>
        <w:t>emplat</w:t>
      </w:r>
      <w:r w:rsidRPr="4654FE23" w:rsidR="00FA5269">
        <w:rPr>
          <w:b w:val="1"/>
          <w:bCs w:val="1"/>
          <w:color w:val="1F3864" w:themeColor="accent1" w:themeTint="FF" w:themeShade="80"/>
          <w:sz w:val="32"/>
          <w:szCs w:val="32"/>
        </w:rPr>
        <w:t>e</w:t>
      </w:r>
    </w:p>
    <w:p w:rsidRPr="00C220D3" w:rsidR="00BB3C99" w:rsidP="00C220D3" w:rsidRDefault="008270CD" w14:paraId="62D97D05" w14:textId="10C91BAE">
      <w:pPr>
        <w:spacing w:after="60"/>
        <w:jc w:val="center"/>
        <w:rPr>
          <w:b w:val="1"/>
          <w:bCs w:val="1"/>
          <w:color w:val="1F3864" w:themeColor="accent1" w:themeShade="80"/>
          <w:sz w:val="28"/>
          <w:szCs w:val="28"/>
        </w:rPr>
      </w:pPr>
      <w:r w:rsidRPr="4654FE23" w:rsidR="008270CD">
        <w:rPr>
          <w:b w:val="1"/>
          <w:bCs w:val="1"/>
          <w:color w:val="1F3864" w:themeColor="accent1" w:themeTint="FF" w:themeShade="80"/>
          <w:sz w:val="28"/>
          <w:szCs w:val="28"/>
        </w:rPr>
        <w:t xml:space="preserve">CGF FPC </w:t>
      </w:r>
      <w:r w:rsidRPr="4654FE23" w:rsidR="00BB3C99">
        <w:rPr>
          <w:b w:val="1"/>
          <w:bCs w:val="1"/>
          <w:color w:val="1F3864" w:themeColor="accent1" w:themeTint="FF" w:themeShade="80"/>
          <w:sz w:val="28"/>
          <w:szCs w:val="28"/>
        </w:rPr>
        <w:t xml:space="preserve">Forest Positive </w:t>
      </w:r>
      <w:r w:rsidRPr="4654FE23" w:rsidR="00082CBA">
        <w:rPr>
          <w:b w:val="1"/>
          <w:bCs w:val="1"/>
          <w:color w:val="1F3864" w:themeColor="accent1" w:themeTint="FF" w:themeShade="80"/>
          <w:sz w:val="28"/>
          <w:szCs w:val="28"/>
        </w:rPr>
        <w:t>Beef</w:t>
      </w:r>
      <w:r w:rsidRPr="4654FE23" w:rsidR="00BB3C99">
        <w:rPr>
          <w:b w:val="1"/>
          <w:bCs w:val="1"/>
          <w:color w:val="1F3864" w:themeColor="accent1" w:themeTint="FF" w:themeShade="80"/>
          <w:sz w:val="28"/>
          <w:szCs w:val="28"/>
        </w:rPr>
        <w:t xml:space="preserve"> Roadmap</w:t>
      </w:r>
      <w:r w:rsidRPr="4654FE23" w:rsidR="1A4CD46C">
        <w:rPr>
          <w:b w:val="1"/>
          <w:bCs w:val="1"/>
          <w:color w:val="1F3864" w:themeColor="accent1" w:themeTint="FF" w:themeShade="80"/>
          <w:sz w:val="28"/>
          <w:szCs w:val="28"/>
        </w:rPr>
        <w:t xml:space="preserve"> (v1.1)</w:t>
      </w:r>
    </w:p>
    <w:p w:rsidRPr="00C83B8B" w:rsidR="2C45204C" w:rsidP="2C45204C" w:rsidRDefault="2C45204C" w14:paraId="7371F8F4" w14:textId="799EF63F">
      <w:pPr>
        <w:spacing w:after="60"/>
        <w:jc w:val="center"/>
        <w:rPr>
          <w:b/>
          <w:bCs/>
          <w:color w:val="1F3864" w:themeColor="accent1" w:themeShade="80"/>
          <w:sz w:val="6"/>
          <w:szCs w:val="6"/>
        </w:rPr>
      </w:pPr>
    </w:p>
    <w:p w:rsidR="6A882A2A" w:rsidP="4654FE23" w:rsidRDefault="6A882A2A" w14:paraId="45F627D7" w14:textId="3A883C38">
      <w:pPr>
        <w:spacing w:after="60"/>
        <w:ind w:left="-851" w:right="-613"/>
        <w:jc w:val="both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4654FE23" w:rsidR="6A882A2A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Given that this recent </w:t>
      </w:r>
      <w:r w:rsidRPr="4654FE23" w:rsidR="2A59D226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version of</w:t>
      </w:r>
      <w:r w:rsidRPr="4654FE23" w:rsidR="6A882A2A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 the CGF FPC Forest Positive Beef Roadmap included </w:t>
      </w:r>
      <w:r w:rsidRPr="4654FE23" w:rsidR="22C678F8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update</w:t>
      </w:r>
      <w:r w:rsidRPr="4654FE23" w:rsidR="6A882A2A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s to certain parts of the document, we are especially interested in your comments on these sections that have been updated, marked here in </w:t>
      </w:r>
      <w:r w:rsidRPr="4654FE23" w:rsidR="6A882A2A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yellow"/>
        </w:rPr>
        <w:t>yellow</w:t>
      </w:r>
      <w:r w:rsidRPr="4654FE23" w:rsidR="6A882A2A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. However, feel free to provide comments and feedback on any other part of the document as well.</w:t>
      </w:r>
    </w:p>
    <w:p w:rsidR="25DF737D" w:rsidP="40A2305B" w:rsidRDefault="00DB73E6" w14:paraId="7B781A6D" w14:textId="67CD739D">
      <w:pPr>
        <w:spacing w:after="60"/>
        <w:ind w:left="-851" w:right="-613"/>
        <w:jc w:val="both"/>
        <w:rPr>
          <w:rFonts w:ascii="Calibri" w:hAnsi="Calibri" w:eastAsia="Calibri" w:cs="Calibri"/>
          <w:b w:val="1"/>
          <w:bCs w:val="1"/>
          <w:i w:val="1"/>
          <w:iCs w:val="1"/>
          <w:color w:val="000000" w:themeColor="text1"/>
          <w:sz w:val="24"/>
          <w:szCs w:val="24"/>
        </w:rPr>
      </w:pPr>
      <w:r w:rsidRPr="40A2305B" w:rsidR="2CF04079">
        <w:rPr>
          <w:rFonts w:ascii="Calibri" w:hAnsi="Calibri" w:eastAsia="Calibri" w:cs="Calibri"/>
          <w:b w:val="1"/>
          <w:bCs w:val="1"/>
          <w:i w:val="1"/>
          <w:iCs w:val="1"/>
          <w:color w:val="000000" w:themeColor="text1"/>
          <w:sz w:val="24"/>
          <w:szCs w:val="24"/>
        </w:rPr>
        <w:t>P</w:t>
      </w:r>
      <w:r w:rsidRPr="40A2305B" w:rsidR="00DB73E6">
        <w:rPr>
          <w:rFonts w:ascii="Calibri" w:hAnsi="Calibri" w:eastAsia="Calibri" w:cs="Calibri"/>
          <w:b w:val="1"/>
          <w:bCs w:val="1"/>
          <w:i w:val="1"/>
          <w:iCs w:val="1"/>
          <w:color w:val="000000" w:themeColor="text1"/>
          <w:sz w:val="24"/>
          <w:szCs w:val="24"/>
        </w:rPr>
        <w:t>lease fill</w:t>
      </w:r>
      <w:r w:rsidRPr="40A2305B" w:rsidR="362BD5F3">
        <w:rPr>
          <w:rFonts w:ascii="Calibri" w:hAnsi="Calibri" w:eastAsia="Calibri" w:cs="Calibri"/>
          <w:b w:val="1"/>
          <w:bCs w:val="1"/>
          <w:i w:val="1"/>
          <w:iCs w:val="1"/>
          <w:color w:val="000000" w:themeColor="text1"/>
          <w:sz w:val="24"/>
          <w:szCs w:val="24"/>
        </w:rPr>
        <w:t xml:space="preserve"> your comments</w:t>
      </w:r>
      <w:r w:rsidRPr="40A2305B" w:rsidR="00DB73E6">
        <w:rPr>
          <w:rFonts w:ascii="Calibri" w:hAnsi="Calibri" w:eastAsia="Calibri" w:cs="Calibri"/>
          <w:b w:val="1"/>
          <w:bCs w:val="1"/>
          <w:i w:val="1"/>
          <w:iCs w:val="1"/>
          <w:color w:val="000000" w:themeColor="text1"/>
          <w:sz w:val="24"/>
          <w:szCs w:val="24"/>
        </w:rPr>
        <w:t xml:space="preserve"> in</w:t>
      </w:r>
      <w:r w:rsidRPr="40A2305B" w:rsidR="25DF737D">
        <w:rPr>
          <w:rFonts w:ascii="Calibri" w:hAnsi="Calibri" w:eastAsia="Calibri" w:cs="Calibri"/>
          <w:b w:val="1"/>
          <w:bCs w:val="1"/>
          <w:i w:val="1"/>
          <w:iCs w:val="1"/>
          <w:color w:val="000000" w:themeColor="text1"/>
          <w:sz w:val="24"/>
          <w:szCs w:val="24"/>
        </w:rPr>
        <w:t xml:space="preserve"> this document </w:t>
      </w:r>
      <w:r w:rsidRPr="40A2305B" w:rsidR="00DB73E6">
        <w:rPr>
          <w:rFonts w:ascii="Calibri" w:hAnsi="Calibri" w:eastAsia="Calibri" w:cs="Calibri"/>
          <w:b w:val="1"/>
          <w:bCs w:val="1"/>
          <w:i w:val="1"/>
          <w:iCs w:val="1"/>
          <w:color w:val="000000" w:themeColor="text1"/>
          <w:sz w:val="24"/>
          <w:szCs w:val="24"/>
        </w:rPr>
        <w:t>and send it over to</w:t>
      </w:r>
      <w:r w:rsidRPr="40A2305B" w:rsidR="25DF737D">
        <w:rPr>
          <w:rFonts w:ascii="Calibri" w:hAnsi="Calibri" w:eastAsia="Calibri" w:cs="Calibri"/>
          <w:b w:val="1"/>
          <w:bCs w:val="1"/>
          <w:i w:val="1"/>
          <w:iCs w:val="1"/>
          <w:color w:val="000000" w:themeColor="text1"/>
          <w:sz w:val="24"/>
          <w:szCs w:val="24"/>
        </w:rPr>
        <w:t xml:space="preserve"> </w:t>
      </w:r>
      <w:hyperlink r:id="Rf3f47e39ed654779">
        <w:r w:rsidRPr="40A2305B" w:rsidR="25DF737D">
          <w:rPr>
            <w:rStyle w:val="Hyperlink"/>
            <w:rFonts w:ascii="Calibri" w:hAnsi="Calibri" w:eastAsia="Calibri" w:cs="Calibri"/>
            <w:b w:val="1"/>
            <w:bCs w:val="1"/>
            <w:i w:val="1"/>
            <w:iCs w:val="1"/>
            <w:sz w:val="24"/>
            <w:szCs w:val="24"/>
          </w:rPr>
          <w:t>CGFRoadmaps@proforest.net</w:t>
        </w:r>
      </w:hyperlink>
      <w:r w:rsidRPr="40A2305B" w:rsidR="25DF737D">
        <w:rPr>
          <w:rFonts w:ascii="Calibri" w:hAnsi="Calibri" w:eastAsia="Calibri" w:cs="Calibri"/>
          <w:b w:val="1"/>
          <w:bCs w:val="1"/>
          <w:i w:val="1"/>
          <w:iCs w:val="1"/>
          <w:color w:val="000000" w:themeColor="text1"/>
          <w:sz w:val="24"/>
          <w:szCs w:val="24"/>
        </w:rPr>
        <w:t>.</w:t>
      </w:r>
      <w:r w:rsidRPr="40A2305B" w:rsidR="009E4D34">
        <w:rPr>
          <w:rStyle w:val="FootnoteReference"/>
          <w:rFonts w:ascii="Calibri" w:hAnsi="Calibri" w:eastAsia="Calibri" w:cs="Calibri"/>
          <w:b w:val="1"/>
          <w:bCs w:val="1"/>
          <w:i w:val="1"/>
          <w:iCs w:val="1"/>
          <w:color w:val="000000" w:themeColor="text1"/>
          <w:sz w:val="24"/>
          <w:szCs w:val="24"/>
        </w:rPr>
        <w:footnoteReference w:id="2"/>
      </w:r>
    </w:p>
    <w:p w:rsidRPr="002C19B3" w:rsidR="002C19B3" w:rsidP="002C19B3" w:rsidRDefault="002C19B3" w14:paraId="049E9E5C" w14:textId="77777777">
      <w:pPr>
        <w:spacing w:after="60"/>
        <w:ind w:left="-851" w:right="-613"/>
        <w:jc w:val="both"/>
        <w:rPr>
          <w:rFonts w:ascii="Calibri" w:hAnsi="Calibri" w:eastAsia="Calibri" w:cs="Calibri"/>
          <w:sz w:val="8"/>
          <w:szCs w:val="8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4253"/>
        <w:gridCol w:w="6663"/>
      </w:tblGrid>
      <w:tr w:rsidRPr="00C220D3" w:rsidR="00C220D3" w:rsidTr="71244B8C" w14:paraId="720EB29C" w14:textId="77777777">
        <w:tc>
          <w:tcPr>
            <w:tcW w:w="4253" w:type="dxa"/>
            <w:shd w:val="clear" w:color="auto" w:fill="auto"/>
            <w:tcMar/>
          </w:tcPr>
          <w:p w:rsidRPr="00C220D3" w:rsidR="00C220D3" w:rsidP="00C220D3" w:rsidRDefault="00C220D3" w14:paraId="2CBF0B0A" w14:textId="6174A841">
            <w:pPr>
              <w:rPr>
                <w:b/>
                <w:bCs/>
                <w:sz w:val="24"/>
                <w:szCs w:val="24"/>
              </w:rPr>
            </w:pPr>
            <w:r w:rsidRPr="00C220D3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663" w:type="dxa"/>
            <w:shd w:val="clear" w:color="auto" w:fill="auto"/>
            <w:tcMar/>
          </w:tcPr>
          <w:p w:rsidRPr="00C220D3" w:rsidR="00C220D3" w:rsidP="00C220D3" w:rsidRDefault="00C220D3" w14:paraId="3817546D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Pr="00C220D3" w:rsidR="00C220D3" w:rsidTr="71244B8C" w14:paraId="0DC5C3ED" w14:textId="77777777">
        <w:tc>
          <w:tcPr>
            <w:tcW w:w="4253" w:type="dxa"/>
            <w:shd w:val="clear" w:color="auto" w:fill="auto"/>
            <w:tcMar/>
          </w:tcPr>
          <w:p w:rsidRPr="00C220D3" w:rsidR="00C220D3" w:rsidP="00C220D3" w:rsidRDefault="00C220D3" w14:paraId="0DB1AA6E" w14:textId="0F84CEE9">
            <w:pPr>
              <w:rPr>
                <w:b/>
                <w:bCs/>
                <w:sz w:val="24"/>
                <w:szCs w:val="24"/>
              </w:rPr>
            </w:pPr>
            <w:r w:rsidRPr="00C220D3">
              <w:rPr>
                <w:b/>
                <w:bCs/>
                <w:sz w:val="24"/>
                <w:szCs w:val="24"/>
              </w:rPr>
              <w:t>Organisation:</w:t>
            </w:r>
          </w:p>
        </w:tc>
        <w:tc>
          <w:tcPr>
            <w:tcW w:w="6663" w:type="dxa"/>
            <w:shd w:val="clear" w:color="auto" w:fill="auto"/>
            <w:tcMar/>
          </w:tcPr>
          <w:p w:rsidRPr="00C220D3" w:rsidR="00C220D3" w:rsidP="00C220D3" w:rsidRDefault="00C220D3" w14:paraId="73E405F7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Pr="00C220D3" w:rsidR="00C220D3" w:rsidTr="71244B8C" w14:paraId="4DBBF24F" w14:textId="77777777">
        <w:tc>
          <w:tcPr>
            <w:tcW w:w="4253" w:type="dxa"/>
            <w:shd w:val="clear" w:color="auto" w:fill="auto"/>
            <w:tcMar/>
          </w:tcPr>
          <w:p w:rsidRPr="00C220D3" w:rsidR="00C220D3" w:rsidP="00C220D3" w:rsidRDefault="00C220D3" w14:paraId="4034F94A" w14:textId="4ABE86E8">
            <w:pPr>
              <w:rPr>
                <w:b/>
                <w:bCs/>
                <w:sz w:val="24"/>
                <w:szCs w:val="24"/>
              </w:rPr>
            </w:pPr>
            <w:r w:rsidRPr="00C220D3">
              <w:rPr>
                <w:b/>
                <w:bCs/>
                <w:sz w:val="24"/>
                <w:szCs w:val="24"/>
              </w:rPr>
              <w:t xml:space="preserve">Email: </w:t>
            </w:r>
          </w:p>
        </w:tc>
        <w:tc>
          <w:tcPr>
            <w:tcW w:w="6663" w:type="dxa"/>
            <w:shd w:val="clear" w:color="auto" w:fill="auto"/>
            <w:tcMar/>
          </w:tcPr>
          <w:p w:rsidRPr="00C220D3" w:rsidR="00C220D3" w:rsidP="00C220D3" w:rsidRDefault="00C220D3" w14:paraId="4B4C6B44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Pr="00C220D3" w:rsidR="00BB3C99" w:rsidTr="71244B8C" w14:paraId="690FDF76" w14:textId="77777777">
        <w:tc>
          <w:tcPr>
            <w:tcW w:w="4253" w:type="dxa"/>
            <w:shd w:val="clear" w:color="auto" w:fill="E7E6E6" w:themeFill="background2"/>
            <w:tcMar/>
          </w:tcPr>
          <w:p w:rsidRPr="00C220D3" w:rsidR="00BB3C99" w:rsidP="00257CF1" w:rsidRDefault="00257CF1" w14:paraId="1BAEB30E" w14:textId="24B46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220D3">
              <w:rPr>
                <w:b/>
                <w:bCs/>
                <w:sz w:val="24"/>
                <w:szCs w:val="24"/>
              </w:rPr>
              <w:t>Key actions</w:t>
            </w:r>
          </w:p>
        </w:tc>
        <w:tc>
          <w:tcPr>
            <w:tcW w:w="6663" w:type="dxa"/>
            <w:shd w:val="clear" w:color="auto" w:fill="E7E6E6" w:themeFill="background2"/>
            <w:tcMar/>
          </w:tcPr>
          <w:p w:rsidRPr="00C220D3" w:rsidR="00BB3C99" w:rsidP="00257CF1" w:rsidRDefault="00257CF1" w14:paraId="1817EDF0" w14:textId="48594B8E">
            <w:pPr>
              <w:jc w:val="center"/>
              <w:rPr>
                <w:b/>
                <w:bCs/>
                <w:sz w:val="24"/>
                <w:szCs w:val="24"/>
              </w:rPr>
            </w:pPr>
            <w:r w:rsidRPr="00C220D3">
              <w:rPr>
                <w:b/>
                <w:bCs/>
                <w:sz w:val="24"/>
                <w:szCs w:val="24"/>
              </w:rPr>
              <w:t xml:space="preserve">Comments </w:t>
            </w:r>
            <w:r w:rsidRPr="00C220D3">
              <w:rPr>
                <w:b/>
                <w:bCs/>
                <w:i/>
                <w:iCs/>
                <w:sz w:val="24"/>
                <w:szCs w:val="24"/>
              </w:rPr>
              <w:t>(please provide your feedback in this column)</w:t>
            </w:r>
          </w:p>
        </w:tc>
      </w:tr>
      <w:tr w:rsidRPr="00C220D3" w:rsidR="00FD6861" w:rsidTr="71244B8C" w14:paraId="390F1926" w14:textId="77777777">
        <w:tc>
          <w:tcPr>
            <w:tcW w:w="4253" w:type="dxa"/>
            <w:shd w:val="clear" w:color="auto" w:fill="70AD47" w:themeFill="accent6"/>
            <w:tcMar/>
          </w:tcPr>
          <w:p w:rsidRPr="00C220D3" w:rsidR="00FD6861" w:rsidP="000C3CC6" w:rsidRDefault="00FD6861" w14:paraId="7F78E99B" w14:textId="1C4A23A1">
            <w:pPr>
              <w:rPr>
                <w:b w:val="1"/>
                <w:bCs w:val="1"/>
                <w:sz w:val="24"/>
                <w:szCs w:val="24"/>
              </w:rPr>
            </w:pPr>
            <w:r w:rsidRPr="000C3CC6" w:rsidR="44263BA9">
              <w:rPr>
                <w:b w:val="1"/>
                <w:bCs w:val="1"/>
                <w:sz w:val="24"/>
                <w:szCs w:val="24"/>
              </w:rPr>
              <w:t xml:space="preserve">Element 1: </w:t>
            </w:r>
            <w:r w:rsidRPr="000C3CC6" w:rsidR="56161482">
              <w:rPr>
                <w:b w:val="1"/>
                <w:bCs w:val="1"/>
                <w:sz w:val="24"/>
                <w:szCs w:val="24"/>
              </w:rPr>
              <w:t xml:space="preserve">Managing </w:t>
            </w:r>
            <w:r w:rsidRPr="000C3CC6" w:rsidR="44263BA9">
              <w:rPr>
                <w:b w:val="1"/>
                <w:bCs w:val="1"/>
                <w:sz w:val="24"/>
                <w:szCs w:val="24"/>
              </w:rPr>
              <w:t>Own supply chain</w:t>
            </w:r>
            <w:r w:rsidRPr="000C3CC6" w:rsidR="4378A5D6">
              <w:rPr>
                <w:b w:val="1"/>
                <w:bCs w:val="1"/>
                <w:sz w:val="24"/>
                <w:szCs w:val="24"/>
              </w:rPr>
              <w:t>s</w:t>
            </w:r>
          </w:p>
        </w:tc>
        <w:tc>
          <w:tcPr>
            <w:tcW w:w="6663" w:type="dxa"/>
            <w:shd w:val="clear" w:color="auto" w:fill="70AD47" w:themeFill="accent6"/>
            <w:tcMar/>
          </w:tcPr>
          <w:p w:rsidRPr="00C220D3" w:rsidR="00FD6861" w:rsidP="00257CF1" w:rsidRDefault="00FD6861" w14:paraId="148B24CA" w14:textId="2F5C3563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Pr="00C220D3" w:rsidR="00BB3C99" w:rsidTr="71244B8C" w14:paraId="3BBBBD27" w14:textId="77777777">
        <w:trPr>
          <w:trHeight w:val="248"/>
        </w:trPr>
        <w:tc>
          <w:tcPr>
            <w:tcW w:w="4253" w:type="dxa"/>
            <w:tcMar/>
          </w:tcPr>
          <w:p w:rsidRPr="00455FC6" w:rsidR="00BB3C99" w:rsidP="2192BEE5" w:rsidRDefault="00AF0120" w14:paraId="13449063" w14:textId="7155A47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2192BEE5" w:rsidR="19A17315">
              <w:rPr>
                <w:color w:val="000000" w:themeColor="text1" w:themeTint="FF" w:themeShade="FF"/>
                <w:sz w:val="21"/>
                <w:szCs w:val="21"/>
              </w:rPr>
              <w:t>Managing Own Supply Chains: Commitments and Actions</w:t>
            </w:r>
          </w:p>
        </w:tc>
        <w:tc>
          <w:tcPr>
            <w:tcW w:w="6663" w:type="dxa"/>
            <w:tcMar/>
          </w:tcPr>
          <w:p w:rsidRPr="00C220D3" w:rsidR="0025448E" w:rsidP="00BB3C99" w:rsidRDefault="0025448E" w14:paraId="4863E7AD" w14:textId="2BE56AF8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Pr="00C220D3" w:rsidR="00BB3C99" w:rsidTr="71244B8C" w14:paraId="5055230F" w14:textId="77777777">
        <w:tc>
          <w:tcPr>
            <w:tcW w:w="4253" w:type="dxa"/>
            <w:tcMar/>
          </w:tcPr>
          <w:p w:rsidRPr="00455FC6" w:rsidR="00BB3C99" w:rsidP="2192BEE5" w:rsidRDefault="00143E7D" w14:paraId="2C544AD3" w14:textId="3E07B818">
            <w:pPr>
              <w:pStyle w:val="Normal"/>
              <w:suppressLineNumbers w:val="0"/>
              <w:bidi w:val="0"/>
              <w:rPr/>
            </w:pPr>
            <w:r w:rsidRPr="2192BEE5" w:rsidR="19A17315">
              <w:rPr>
                <w:color w:val="000000" w:themeColor="text1" w:themeTint="FF" w:themeShade="FF"/>
                <w:sz w:val="21"/>
                <w:szCs w:val="21"/>
              </w:rPr>
              <w:t>Managing Own Supply Chains: Transparency and Accountability</w:t>
            </w:r>
          </w:p>
        </w:tc>
        <w:tc>
          <w:tcPr>
            <w:tcW w:w="6663" w:type="dxa"/>
            <w:tcMar/>
          </w:tcPr>
          <w:p w:rsidRPr="00C220D3" w:rsidR="00BB3C99" w:rsidP="00BB3C99" w:rsidRDefault="00BB3C99" w14:paraId="38C74955" w14:textId="77777777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4654FE23" w:rsidTr="71244B8C" w14:paraId="02557D49">
        <w:trPr>
          <w:trHeight w:val="300"/>
        </w:trPr>
        <w:tc>
          <w:tcPr>
            <w:tcW w:w="4253" w:type="dxa"/>
            <w:tcMar/>
          </w:tcPr>
          <w:p w:rsidR="54C4C69D" w:rsidP="4654FE23" w:rsidRDefault="54C4C69D" w14:paraId="179B9C44" w14:textId="05821326">
            <w:pPr>
              <w:pStyle w:val="Normal"/>
              <w:rPr>
                <w:color w:val="000000" w:themeColor="text1" w:themeTint="FF" w:themeShade="FF"/>
                <w:sz w:val="21"/>
                <w:szCs w:val="21"/>
                <w:highlight w:val="yellow"/>
              </w:rPr>
            </w:pPr>
            <w:r w:rsidRPr="4654FE23" w:rsidR="54C4C69D">
              <w:rPr>
                <w:color w:val="000000" w:themeColor="text1" w:themeTint="FF" w:themeShade="FF"/>
                <w:sz w:val="21"/>
                <w:szCs w:val="21"/>
                <w:highlight w:val="yellow"/>
              </w:rPr>
              <w:t>Publicly Reported KPIs, in general</w:t>
            </w:r>
          </w:p>
        </w:tc>
        <w:tc>
          <w:tcPr>
            <w:tcW w:w="6663" w:type="dxa"/>
            <w:tcMar/>
          </w:tcPr>
          <w:p w:rsidR="4654FE23" w:rsidP="4654FE23" w:rsidRDefault="4654FE23" w14:paraId="7AE9F410" w14:textId="3756E4F5">
            <w:pPr>
              <w:pStyle w:val="Normal"/>
              <w:rPr>
                <w:b w:val="1"/>
                <w:bCs w:val="1"/>
                <w:color w:val="1F3864" w:themeColor="accent1" w:themeTint="FF" w:themeShade="80"/>
                <w:sz w:val="28"/>
                <w:szCs w:val="28"/>
              </w:rPr>
            </w:pPr>
          </w:p>
        </w:tc>
      </w:tr>
      <w:tr w:rsidR="4654FE23" w:rsidTr="71244B8C" w14:paraId="30B67771">
        <w:trPr>
          <w:trHeight w:val="300"/>
        </w:trPr>
        <w:tc>
          <w:tcPr>
            <w:tcW w:w="4253" w:type="dxa"/>
            <w:tcMar/>
          </w:tcPr>
          <w:p w:rsidR="54C4C69D" w:rsidP="4654FE23" w:rsidRDefault="54C4C69D" w14:paraId="6675CA9E" w14:textId="4E85EC07">
            <w:pPr>
              <w:pStyle w:val="Normal"/>
              <w:rPr>
                <w:color w:val="000000" w:themeColor="text1" w:themeTint="FF" w:themeShade="FF"/>
                <w:sz w:val="21"/>
                <w:szCs w:val="21"/>
                <w:highlight w:val="yellow"/>
              </w:rPr>
            </w:pPr>
            <w:r w:rsidRPr="4654FE23" w:rsidR="54C4C69D">
              <w:rPr>
                <w:color w:val="000000" w:themeColor="text1" w:themeTint="FF" w:themeShade="FF"/>
                <w:sz w:val="21"/>
                <w:szCs w:val="21"/>
                <w:highlight w:val="yellow"/>
              </w:rPr>
              <w:t>KPI 1.4: % of total commodity volume that is in scope of Element 1 reporting</w:t>
            </w:r>
          </w:p>
        </w:tc>
        <w:tc>
          <w:tcPr>
            <w:tcW w:w="6663" w:type="dxa"/>
            <w:tcMar/>
          </w:tcPr>
          <w:p w:rsidR="4654FE23" w:rsidP="4654FE23" w:rsidRDefault="4654FE23" w14:paraId="691445E2" w14:textId="27F8034B">
            <w:pPr>
              <w:pStyle w:val="Normal"/>
              <w:rPr>
                <w:b w:val="1"/>
                <w:bCs w:val="1"/>
                <w:color w:val="1F3864" w:themeColor="accent1" w:themeTint="FF" w:themeShade="80"/>
                <w:sz w:val="28"/>
                <w:szCs w:val="28"/>
              </w:rPr>
            </w:pPr>
          </w:p>
        </w:tc>
      </w:tr>
      <w:tr w:rsidR="4654FE23" w:rsidTr="71244B8C" w14:paraId="0A8B5E62">
        <w:trPr>
          <w:trHeight w:val="300"/>
        </w:trPr>
        <w:tc>
          <w:tcPr>
            <w:tcW w:w="4253" w:type="dxa"/>
            <w:tcMar/>
          </w:tcPr>
          <w:p w:rsidR="54C4C69D" w:rsidP="4654FE23" w:rsidRDefault="54C4C69D" w14:paraId="4AE8294F" w14:textId="601F6AA4">
            <w:pPr>
              <w:pStyle w:val="Normal"/>
              <w:rPr>
                <w:color w:val="000000" w:themeColor="text1" w:themeTint="FF" w:themeShade="FF"/>
                <w:sz w:val="21"/>
                <w:szCs w:val="21"/>
                <w:highlight w:val="yellow"/>
              </w:rPr>
            </w:pPr>
            <w:r w:rsidRPr="4654FE23" w:rsidR="54C4C69D">
              <w:rPr>
                <w:color w:val="000000" w:themeColor="text1" w:themeTint="FF" w:themeShade="FF"/>
                <w:sz w:val="21"/>
                <w:szCs w:val="21"/>
                <w:highlight w:val="yellow"/>
              </w:rPr>
              <w:t>KPI 1.5: % with known origin6 and per classification of origin</w:t>
            </w:r>
          </w:p>
        </w:tc>
        <w:tc>
          <w:tcPr>
            <w:tcW w:w="6663" w:type="dxa"/>
            <w:tcMar/>
          </w:tcPr>
          <w:p w:rsidR="4654FE23" w:rsidP="4654FE23" w:rsidRDefault="4654FE23" w14:paraId="0539B231" w14:textId="73D393E5">
            <w:pPr>
              <w:pStyle w:val="Normal"/>
              <w:rPr>
                <w:b w:val="1"/>
                <w:bCs w:val="1"/>
                <w:color w:val="1F3864" w:themeColor="accent1" w:themeTint="FF" w:themeShade="80"/>
                <w:sz w:val="28"/>
                <w:szCs w:val="28"/>
              </w:rPr>
            </w:pPr>
          </w:p>
        </w:tc>
      </w:tr>
      <w:tr w:rsidR="4654FE23" w:rsidTr="71244B8C" w14:paraId="1F75DA00">
        <w:trPr>
          <w:trHeight w:val="300"/>
        </w:trPr>
        <w:tc>
          <w:tcPr>
            <w:tcW w:w="4253" w:type="dxa"/>
            <w:tcMar/>
          </w:tcPr>
          <w:p w:rsidR="54C4C69D" w:rsidP="4654FE23" w:rsidRDefault="54C4C69D" w14:paraId="6E48F939" w14:textId="241DF97B">
            <w:pPr>
              <w:pStyle w:val="Normal"/>
              <w:rPr>
                <w:color w:val="000000" w:themeColor="text1" w:themeTint="FF" w:themeShade="FF"/>
                <w:sz w:val="21"/>
                <w:szCs w:val="21"/>
                <w:highlight w:val="yellow"/>
              </w:rPr>
            </w:pPr>
            <w:r w:rsidRPr="4654FE23" w:rsidR="54C4C69D">
              <w:rPr>
                <w:color w:val="000000" w:themeColor="text1" w:themeTint="FF" w:themeShade="FF"/>
                <w:sz w:val="21"/>
                <w:szCs w:val="21"/>
                <w:highlight w:val="yellow"/>
              </w:rPr>
              <w:t xml:space="preserve">KPI 1.6: % Deforestation and Conversion-free (DCF) volumes6 and break down as </w:t>
            </w:r>
            <w:r w:rsidRPr="4654FE23" w:rsidR="54C4C69D">
              <w:rPr>
                <w:color w:val="000000" w:themeColor="text1" w:themeTint="FF" w:themeShade="FF"/>
                <w:sz w:val="21"/>
                <w:szCs w:val="21"/>
                <w:highlight w:val="yellow"/>
              </w:rPr>
              <w:t>indicated</w:t>
            </w:r>
          </w:p>
        </w:tc>
        <w:tc>
          <w:tcPr>
            <w:tcW w:w="6663" w:type="dxa"/>
            <w:tcMar/>
          </w:tcPr>
          <w:p w:rsidR="4654FE23" w:rsidP="4654FE23" w:rsidRDefault="4654FE23" w14:paraId="035E1A88" w14:textId="705EBA42">
            <w:pPr>
              <w:pStyle w:val="Normal"/>
              <w:rPr>
                <w:b w:val="1"/>
                <w:bCs w:val="1"/>
                <w:color w:val="1F3864" w:themeColor="accent1" w:themeTint="FF" w:themeShade="80"/>
                <w:sz w:val="28"/>
                <w:szCs w:val="28"/>
              </w:rPr>
            </w:pPr>
          </w:p>
        </w:tc>
      </w:tr>
      <w:tr w:rsidR="4654FE23" w:rsidTr="71244B8C" w14:paraId="2C8B02C2">
        <w:trPr>
          <w:trHeight w:val="300"/>
        </w:trPr>
        <w:tc>
          <w:tcPr>
            <w:tcW w:w="4253" w:type="dxa"/>
            <w:tcMar/>
          </w:tcPr>
          <w:p w:rsidR="63ABC260" w:rsidP="4654FE23" w:rsidRDefault="63ABC260" w14:paraId="3B0CD0D5" w14:textId="795412E8">
            <w:pPr>
              <w:pStyle w:val="Normal"/>
              <w:rPr>
                <w:color w:val="000000" w:themeColor="text1" w:themeTint="FF" w:themeShade="FF"/>
                <w:sz w:val="21"/>
                <w:szCs w:val="21"/>
                <w:highlight w:val="yellow"/>
              </w:rPr>
            </w:pPr>
            <w:r w:rsidRPr="4654FE23" w:rsidR="63ABC260">
              <w:rPr>
                <w:color w:val="000000" w:themeColor="text1" w:themeTint="FF" w:themeShade="FF"/>
                <w:sz w:val="21"/>
                <w:szCs w:val="21"/>
                <w:highlight w:val="yellow"/>
              </w:rPr>
              <w:t>KPI 1.7: % progressing towards DCF</w:t>
            </w:r>
          </w:p>
        </w:tc>
        <w:tc>
          <w:tcPr>
            <w:tcW w:w="6663" w:type="dxa"/>
            <w:tcMar/>
          </w:tcPr>
          <w:p w:rsidR="4654FE23" w:rsidP="4654FE23" w:rsidRDefault="4654FE23" w14:paraId="29CB8B9D" w14:textId="132F2835">
            <w:pPr>
              <w:pStyle w:val="Normal"/>
              <w:rPr>
                <w:b w:val="1"/>
                <w:bCs w:val="1"/>
                <w:color w:val="1F3864" w:themeColor="accent1" w:themeTint="FF" w:themeShade="80"/>
                <w:sz w:val="28"/>
                <w:szCs w:val="28"/>
              </w:rPr>
            </w:pPr>
          </w:p>
        </w:tc>
      </w:tr>
      <w:tr w:rsidRPr="00C220D3" w:rsidR="001964CE" w:rsidTr="71244B8C" w14:paraId="0912A543" w14:textId="77777777">
        <w:tc>
          <w:tcPr>
            <w:tcW w:w="4253" w:type="dxa"/>
            <w:shd w:val="clear" w:color="auto" w:fill="70AD47" w:themeFill="accent6"/>
            <w:tcMar/>
          </w:tcPr>
          <w:p w:rsidRPr="00C220D3" w:rsidR="001964CE" w:rsidP="00497392" w:rsidRDefault="001964CE" w14:paraId="5D429152" w14:textId="09D4EDFC">
            <w:pPr>
              <w:rPr>
                <w:b w:val="1"/>
                <w:bCs w:val="1"/>
                <w:color w:val="1F3864" w:themeColor="accent1" w:themeShade="80"/>
                <w:sz w:val="28"/>
                <w:szCs w:val="28"/>
              </w:rPr>
            </w:pPr>
            <w:r w:rsidRPr="000C3CC6" w:rsidR="27BC878C">
              <w:rPr>
                <w:b w:val="1"/>
                <w:bCs w:val="1"/>
                <w:sz w:val="24"/>
                <w:szCs w:val="24"/>
              </w:rPr>
              <w:t>Element 2:</w:t>
            </w:r>
            <w:r w:rsidRPr="000C3CC6" w:rsidR="146E2109">
              <w:rPr>
                <w:b w:val="1"/>
                <w:bCs w:val="1"/>
                <w:sz w:val="24"/>
                <w:szCs w:val="24"/>
              </w:rPr>
              <w:t xml:space="preserve"> Engaging </w:t>
            </w:r>
            <w:r w:rsidRPr="000C3CC6" w:rsidR="27BC878C">
              <w:rPr>
                <w:b w:val="1"/>
                <w:bCs w:val="1"/>
                <w:sz w:val="24"/>
                <w:szCs w:val="24"/>
              </w:rPr>
              <w:t>Suppliers</w:t>
            </w:r>
            <w:r w:rsidRPr="000C3CC6" w:rsidR="78C3D52A">
              <w:rPr>
                <w:b w:val="1"/>
                <w:bCs w:val="1"/>
                <w:sz w:val="24"/>
                <w:szCs w:val="24"/>
              </w:rPr>
              <w:t xml:space="preserve"> and Meatpackers</w:t>
            </w:r>
          </w:p>
        </w:tc>
        <w:tc>
          <w:tcPr>
            <w:tcW w:w="6663" w:type="dxa"/>
            <w:shd w:val="clear" w:color="auto" w:fill="70AD47" w:themeFill="accent6"/>
            <w:tcMar/>
          </w:tcPr>
          <w:p w:rsidRPr="00C220D3" w:rsidR="001964CE" w:rsidP="00497392" w:rsidRDefault="001964CE" w14:paraId="0C3FDD1F" w14:textId="353F6CED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Pr="00C220D3" w:rsidR="00BB3C99" w:rsidTr="71244B8C" w14:paraId="57AFC5D2" w14:textId="77777777">
        <w:tc>
          <w:tcPr>
            <w:tcW w:w="4253" w:type="dxa"/>
            <w:tcMar/>
          </w:tcPr>
          <w:p w:rsidRPr="00A56E1E" w:rsidR="00BB3C99" w:rsidP="2192BEE5" w:rsidRDefault="008D4124" w14:paraId="2B5ABB41" w14:textId="18C61807">
            <w:pPr>
              <w:pStyle w:val="TableParagraph"/>
              <w:suppressLineNumbers w:val="0"/>
              <w:bidi w:val="0"/>
              <w:spacing w:before="81" w:beforeAutospacing="off" w:after="0" w:afterAutospacing="off" w:line="240" w:lineRule="auto"/>
              <w:ind w:left="0" w:right="0"/>
              <w:jc w:val="left"/>
              <w:rPr/>
            </w:pPr>
            <w:r w:rsidRPr="2192BEE5" w:rsidR="4BFD5DA0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Suppliers and Meatpackers: Commitments and Actions</w:t>
            </w:r>
          </w:p>
        </w:tc>
        <w:tc>
          <w:tcPr>
            <w:tcW w:w="6663" w:type="dxa"/>
            <w:tcMar/>
          </w:tcPr>
          <w:p w:rsidRPr="00C220D3" w:rsidR="00BB3C99" w:rsidP="00BB3C99" w:rsidRDefault="00BB3C99" w14:paraId="52CE8421" w14:textId="77777777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Pr="00C220D3" w:rsidR="00BB3C99" w:rsidTr="71244B8C" w14:paraId="6E0EAAF6" w14:textId="77777777">
        <w:tc>
          <w:tcPr>
            <w:tcW w:w="4253" w:type="dxa"/>
            <w:tcMar/>
          </w:tcPr>
          <w:p w:rsidRPr="00A56E1E" w:rsidR="00BB3C99" w:rsidP="2192BEE5" w:rsidRDefault="00683E1D" w14:paraId="0D44EF58" w14:textId="41FD831A">
            <w:pPr>
              <w:pStyle w:val="TableParagraph"/>
              <w:suppressLineNumbers w:val="0"/>
              <w:bidi w:val="0"/>
              <w:spacing w:before="81" w:beforeAutospacing="off" w:after="0" w:afterAutospacing="off" w:line="240" w:lineRule="auto"/>
              <w:ind w:left="0" w:right="0"/>
              <w:jc w:val="left"/>
              <w:rPr/>
            </w:pPr>
            <w:r w:rsidRPr="2192BEE5" w:rsidR="4BFD5DA0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Suppliers and Meatpackers: Transparency and Accountability</w:t>
            </w:r>
          </w:p>
        </w:tc>
        <w:tc>
          <w:tcPr>
            <w:tcW w:w="6663" w:type="dxa"/>
            <w:tcMar/>
          </w:tcPr>
          <w:p w:rsidRPr="00C220D3" w:rsidR="00BB3C99" w:rsidP="00BB3C99" w:rsidRDefault="00BB3C99" w14:paraId="289EC595" w14:textId="77777777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Pr="00C220D3" w:rsidR="00BB3C99" w:rsidTr="71244B8C" w14:paraId="41CE7060" w14:textId="77777777">
        <w:tc>
          <w:tcPr>
            <w:tcW w:w="4253" w:type="dxa"/>
            <w:shd w:val="clear" w:color="auto" w:fill="70AD47" w:themeFill="accent6"/>
            <w:tcMar/>
          </w:tcPr>
          <w:p w:rsidRPr="00C220D3" w:rsidR="00BB3C99" w:rsidP="00BB3C99" w:rsidRDefault="005B35CB" w14:paraId="08B9C9B0" w14:textId="1824816D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C220D3">
              <w:rPr>
                <w:b/>
                <w:bCs/>
                <w:sz w:val="24"/>
                <w:szCs w:val="24"/>
              </w:rPr>
              <w:t xml:space="preserve">Element </w:t>
            </w:r>
            <w:r w:rsidR="00700771">
              <w:rPr>
                <w:b/>
                <w:bCs/>
                <w:sz w:val="24"/>
                <w:szCs w:val="24"/>
              </w:rPr>
              <w:t>3</w:t>
            </w:r>
            <w:r w:rsidRPr="00C220D3">
              <w:rPr>
                <w:b/>
                <w:bCs/>
                <w:sz w:val="24"/>
                <w:szCs w:val="24"/>
              </w:rPr>
              <w:t xml:space="preserve">: </w:t>
            </w:r>
            <w:r w:rsidR="00CD51F5">
              <w:rPr>
                <w:b/>
                <w:bCs/>
                <w:sz w:val="24"/>
                <w:szCs w:val="24"/>
              </w:rPr>
              <w:t>Monitoring and Response</w:t>
            </w:r>
            <w:r w:rsidR="008A475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shd w:val="clear" w:color="auto" w:fill="70AD47" w:themeFill="accent6"/>
            <w:tcMar/>
          </w:tcPr>
          <w:p w:rsidRPr="00C220D3" w:rsidR="00BB3C99" w:rsidP="00BB3C99" w:rsidRDefault="00BB3C99" w14:paraId="5A7B2886" w14:textId="77777777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Pr="00C220D3" w:rsidR="00BB3C99" w:rsidTr="71244B8C" w14:paraId="48FAC392" w14:textId="77777777">
        <w:trPr>
          <w:trHeight w:val="300"/>
        </w:trPr>
        <w:tc>
          <w:tcPr>
            <w:tcW w:w="4253" w:type="dxa"/>
            <w:tcMar/>
          </w:tcPr>
          <w:p w:rsidRPr="005F5782" w:rsidR="00BB3C99" w:rsidP="2192BEE5" w:rsidRDefault="005F5782" w14:paraId="27B9E898" w14:textId="6FCE0C0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2192BEE5" w:rsidR="043BAC6E">
              <w:rPr>
                <w:rFonts w:eastAsia="Arial" w:cs="Calibri" w:cstheme="minorAscii"/>
                <w:color w:val="000000" w:themeColor="text1" w:themeTint="FF" w:themeShade="FF"/>
              </w:rPr>
              <w:t>Monitoring and Response: Commitments and Actions</w:t>
            </w:r>
          </w:p>
        </w:tc>
        <w:tc>
          <w:tcPr>
            <w:tcW w:w="6663" w:type="dxa"/>
            <w:tcMar/>
          </w:tcPr>
          <w:p w:rsidRPr="00C220D3" w:rsidR="00BB3C99" w:rsidP="00BB3C99" w:rsidRDefault="00BB3C99" w14:paraId="221CE144" w14:textId="77777777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2192BEE5" w:rsidTr="71244B8C" w14:paraId="6B8AFCD9">
        <w:trPr>
          <w:trHeight w:val="300"/>
        </w:trPr>
        <w:tc>
          <w:tcPr>
            <w:tcW w:w="4253" w:type="dxa"/>
            <w:shd w:val="clear" w:color="auto" w:fill="70AD47" w:themeFill="accent6"/>
            <w:tcMar/>
          </w:tcPr>
          <w:p w:rsidR="2192BEE5" w:rsidP="2192BEE5" w:rsidRDefault="2192BEE5" w14:paraId="0B74F283" w14:textId="151D8A08">
            <w:pPr>
              <w:rPr>
                <w:b w:val="1"/>
                <w:bCs w:val="1"/>
                <w:color w:val="1F3864" w:themeColor="accent1" w:themeTint="FF" w:themeShade="80"/>
                <w:sz w:val="28"/>
                <w:szCs w:val="28"/>
              </w:rPr>
            </w:pPr>
            <w:r w:rsidRPr="2192BEE5" w:rsidR="2192BEE5">
              <w:rPr>
                <w:b w:val="1"/>
                <w:bCs w:val="1"/>
                <w:sz w:val="24"/>
                <w:szCs w:val="24"/>
              </w:rPr>
              <w:t xml:space="preserve">Element </w:t>
            </w:r>
            <w:r w:rsidRPr="2192BEE5" w:rsidR="2192BEE5">
              <w:rPr>
                <w:b w:val="1"/>
                <w:bCs w:val="1"/>
                <w:sz w:val="24"/>
                <w:szCs w:val="24"/>
              </w:rPr>
              <w:t>4</w:t>
            </w:r>
            <w:r w:rsidRPr="2192BEE5" w:rsidR="2192BEE5">
              <w:rPr>
                <w:b w:val="1"/>
                <w:bCs w:val="1"/>
                <w:sz w:val="24"/>
                <w:szCs w:val="24"/>
              </w:rPr>
              <w:t xml:space="preserve">: </w:t>
            </w:r>
            <w:r w:rsidRPr="2192BEE5" w:rsidR="2192BEE5">
              <w:rPr>
                <w:b w:val="1"/>
                <w:bCs w:val="1"/>
                <w:sz w:val="24"/>
                <w:szCs w:val="24"/>
              </w:rPr>
              <w:t xml:space="preserve">Engaging in </w:t>
            </w:r>
            <w:r w:rsidRPr="2192BEE5" w:rsidR="2192BEE5">
              <w:rPr>
                <w:b w:val="1"/>
                <w:bCs w:val="1"/>
                <w:sz w:val="24"/>
                <w:szCs w:val="24"/>
              </w:rPr>
              <w:t>Production Landscapes</w:t>
            </w:r>
          </w:p>
        </w:tc>
        <w:tc>
          <w:tcPr>
            <w:tcW w:w="6663" w:type="dxa"/>
            <w:shd w:val="clear" w:color="auto" w:fill="70AD47" w:themeFill="accent6"/>
            <w:tcMar/>
          </w:tcPr>
          <w:p w:rsidR="2192BEE5" w:rsidP="2192BEE5" w:rsidRDefault="2192BEE5" w14:paraId="53A488F4">
            <w:pPr>
              <w:rPr>
                <w:b w:val="1"/>
                <w:bCs w:val="1"/>
                <w:color w:val="1F3864" w:themeColor="accent1" w:themeTint="FF" w:themeShade="80"/>
                <w:sz w:val="28"/>
                <w:szCs w:val="28"/>
              </w:rPr>
            </w:pPr>
          </w:p>
        </w:tc>
      </w:tr>
      <w:tr w:rsidR="2192BEE5" w:rsidTr="71244B8C" w14:paraId="57F18C75">
        <w:trPr>
          <w:trHeight w:val="300"/>
        </w:trPr>
        <w:tc>
          <w:tcPr>
            <w:tcW w:w="4253" w:type="dxa"/>
            <w:tcMar/>
          </w:tcPr>
          <w:p w:rsidR="0D4A3F55" w:rsidP="2192BEE5" w:rsidRDefault="0D4A3F55" w14:paraId="4A3F4906" w14:textId="46BF0A83">
            <w:pPr>
              <w:pStyle w:val="Normal"/>
              <w:spacing w:line="259" w:lineRule="auto"/>
              <w:jc w:val="left"/>
              <w:rPr>
                <w:rFonts w:eastAsia="Arial" w:cs="Calibri" w:cstheme="minorAscii"/>
                <w:color w:val="000000" w:themeColor="text1" w:themeTint="FF" w:themeShade="FF"/>
              </w:rPr>
            </w:pPr>
            <w:r w:rsidRPr="2192BEE5" w:rsidR="0D4A3F55">
              <w:rPr>
                <w:rFonts w:eastAsia="Arial" w:cs="Calibri" w:cstheme="minorAscii"/>
                <w:color w:val="000000" w:themeColor="text1" w:themeTint="FF" w:themeShade="FF"/>
              </w:rPr>
              <w:t>Engaging in Production Landscapes: Commitments and Actions</w:t>
            </w:r>
          </w:p>
        </w:tc>
        <w:tc>
          <w:tcPr>
            <w:tcW w:w="6663" w:type="dxa"/>
            <w:tcMar/>
          </w:tcPr>
          <w:p w:rsidR="2192BEE5" w:rsidP="2192BEE5" w:rsidRDefault="2192BEE5" w14:paraId="3DD34FF5" w14:textId="3C1D020B">
            <w:pPr>
              <w:pStyle w:val="Normal"/>
              <w:rPr>
                <w:b w:val="1"/>
                <w:bCs w:val="1"/>
                <w:color w:val="1F3864" w:themeColor="accent1" w:themeTint="FF" w:themeShade="80"/>
                <w:sz w:val="28"/>
                <w:szCs w:val="28"/>
              </w:rPr>
            </w:pPr>
          </w:p>
        </w:tc>
      </w:tr>
      <w:tr w:rsidR="2192BEE5" w:rsidTr="71244B8C" w14:paraId="7248F21A">
        <w:trPr>
          <w:trHeight w:val="300"/>
        </w:trPr>
        <w:tc>
          <w:tcPr>
            <w:tcW w:w="4253" w:type="dxa"/>
            <w:tcMar/>
          </w:tcPr>
          <w:p w:rsidR="0D4A3F55" w:rsidP="2192BEE5" w:rsidRDefault="0D4A3F55" w14:paraId="21E5C50A" w14:textId="75E3082D">
            <w:pPr>
              <w:pStyle w:val="Normal"/>
              <w:spacing w:line="259" w:lineRule="auto"/>
              <w:jc w:val="left"/>
              <w:rPr>
                <w:rFonts w:eastAsia="Arial" w:cs="Calibri" w:cstheme="minorAscii"/>
                <w:color w:val="000000" w:themeColor="text1" w:themeTint="FF" w:themeShade="FF"/>
              </w:rPr>
            </w:pPr>
            <w:r w:rsidRPr="2192BEE5" w:rsidR="0D4A3F55">
              <w:rPr>
                <w:rFonts w:eastAsia="Arial" w:cs="Calibri" w:cstheme="minorAscii"/>
                <w:color w:val="000000" w:themeColor="text1" w:themeTint="FF" w:themeShade="FF"/>
              </w:rPr>
              <w:t>Engaging in Production Landscapes: Transparency and Accountability</w:t>
            </w:r>
          </w:p>
        </w:tc>
        <w:tc>
          <w:tcPr>
            <w:tcW w:w="6663" w:type="dxa"/>
            <w:tcMar/>
          </w:tcPr>
          <w:p w:rsidR="2192BEE5" w:rsidP="2192BEE5" w:rsidRDefault="2192BEE5" w14:paraId="7415EBE7" w14:textId="50728482">
            <w:pPr>
              <w:pStyle w:val="Normal"/>
              <w:rPr>
                <w:b w:val="1"/>
                <w:bCs w:val="1"/>
                <w:color w:val="1F3864" w:themeColor="accent1" w:themeTint="FF" w:themeShade="80"/>
                <w:sz w:val="28"/>
                <w:szCs w:val="28"/>
              </w:rPr>
            </w:pPr>
          </w:p>
        </w:tc>
      </w:tr>
      <w:tr w:rsidR="2192BEE5" w:rsidTr="71244B8C" w14:paraId="57568205">
        <w:trPr>
          <w:trHeight w:val="300"/>
        </w:trPr>
        <w:tc>
          <w:tcPr>
            <w:tcW w:w="4253" w:type="dxa"/>
            <w:shd w:val="clear" w:color="auto" w:fill="70AD47" w:themeFill="accent6"/>
            <w:tcMar/>
          </w:tcPr>
          <w:p w:rsidR="0D4A3F55" w:rsidP="2192BEE5" w:rsidRDefault="0D4A3F55" w14:paraId="5750FDAC" w14:textId="3707FA9A">
            <w:pPr>
              <w:rPr>
                <w:b w:val="1"/>
                <w:bCs w:val="1"/>
                <w:sz w:val="24"/>
                <w:szCs w:val="24"/>
              </w:rPr>
            </w:pPr>
            <w:r w:rsidRPr="2192BEE5" w:rsidR="0D4A3F55">
              <w:rPr>
                <w:b w:val="1"/>
                <w:bCs w:val="1"/>
                <w:sz w:val="24"/>
                <w:szCs w:val="24"/>
              </w:rPr>
              <w:t>Element 5: Increasing Transparency and Accountability</w:t>
            </w:r>
          </w:p>
        </w:tc>
        <w:tc>
          <w:tcPr>
            <w:tcW w:w="6663" w:type="dxa"/>
            <w:shd w:val="clear" w:color="auto" w:fill="70AD47" w:themeFill="accent6"/>
            <w:tcMar/>
          </w:tcPr>
          <w:p w:rsidR="2192BEE5" w:rsidP="2192BEE5" w:rsidRDefault="2192BEE5" w14:paraId="6B506C93" w14:textId="1771344F">
            <w:pPr>
              <w:pStyle w:val="Normal"/>
              <w:rPr>
                <w:b w:val="1"/>
                <w:bCs w:val="1"/>
                <w:color w:val="1F3864" w:themeColor="accent1" w:themeTint="FF" w:themeShade="80"/>
                <w:sz w:val="28"/>
                <w:szCs w:val="28"/>
              </w:rPr>
            </w:pPr>
          </w:p>
        </w:tc>
      </w:tr>
      <w:tr w:rsidR="2192BEE5" w:rsidTr="71244B8C" w14:paraId="4B96AC9E">
        <w:trPr>
          <w:trHeight w:val="300"/>
        </w:trPr>
        <w:tc>
          <w:tcPr>
            <w:tcW w:w="4253" w:type="dxa"/>
            <w:tcMar/>
          </w:tcPr>
          <w:p w:rsidR="0D4A3F55" w:rsidP="2192BEE5" w:rsidRDefault="0D4A3F55" w14:paraId="4452B65C" w14:textId="0E16515F">
            <w:pPr>
              <w:pStyle w:val="Normal"/>
              <w:spacing w:line="259" w:lineRule="auto"/>
              <w:jc w:val="left"/>
              <w:rPr>
                <w:rFonts w:eastAsia="Arial" w:cs="Calibri" w:cstheme="minorAscii"/>
                <w:color w:val="000000" w:themeColor="text1" w:themeTint="FF" w:themeShade="FF"/>
              </w:rPr>
            </w:pPr>
            <w:r w:rsidRPr="2192BEE5" w:rsidR="0D4A3F55">
              <w:rPr>
                <w:rFonts w:eastAsia="Arial" w:cs="Calibri" w:cstheme="minorAscii"/>
                <w:color w:val="000000" w:themeColor="text1" w:themeTint="FF" w:themeShade="FF"/>
              </w:rPr>
              <w:t xml:space="preserve">Increasing Transparency and Accountability: </w:t>
            </w:r>
            <w:r w:rsidRPr="2192BEE5" w:rsidR="2192BEE5">
              <w:rPr>
                <w:rFonts w:eastAsia="Arial" w:cs="Calibri" w:cstheme="minorAscii"/>
                <w:color w:val="000000" w:themeColor="text1" w:themeTint="FF" w:themeShade="FF"/>
              </w:rPr>
              <w:t>Commitments and Actions</w:t>
            </w:r>
          </w:p>
        </w:tc>
        <w:tc>
          <w:tcPr>
            <w:tcW w:w="6663" w:type="dxa"/>
            <w:shd w:val="clear" w:color="auto" w:fill="FFFFFF" w:themeFill="background1"/>
            <w:tcMar/>
          </w:tcPr>
          <w:p w:rsidR="2192BEE5" w:rsidP="2192BEE5" w:rsidRDefault="2192BEE5" w14:paraId="79874B8F" w14:textId="72EFF97C">
            <w:pPr>
              <w:pStyle w:val="Normal"/>
              <w:rPr>
                <w:b w:val="1"/>
                <w:bCs w:val="1"/>
                <w:color w:val="1F3864" w:themeColor="accent1" w:themeTint="FF" w:themeShade="80"/>
                <w:sz w:val="28"/>
                <w:szCs w:val="28"/>
              </w:rPr>
            </w:pPr>
          </w:p>
        </w:tc>
      </w:tr>
      <w:tr w:rsidR="4654FE23" w:rsidTr="71244B8C" w14:paraId="6DED3EC8">
        <w:trPr>
          <w:trHeight w:val="300"/>
        </w:trPr>
        <w:tc>
          <w:tcPr>
            <w:tcW w:w="4253" w:type="dxa"/>
            <w:shd w:val="clear" w:color="auto" w:fill="70AD47" w:themeFill="accent6"/>
            <w:tcMar/>
          </w:tcPr>
          <w:p w:rsidR="1EF00DD6" w:rsidP="4654FE23" w:rsidRDefault="1EF00DD6" w14:paraId="588A25D2" w14:textId="490896D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4654FE23" w:rsidR="1EF00DD6">
              <w:rPr>
                <w:b w:val="1"/>
                <w:bCs w:val="1"/>
                <w:sz w:val="24"/>
                <w:szCs w:val="24"/>
              </w:rPr>
              <w:t>General/Additional Comments</w:t>
            </w:r>
          </w:p>
        </w:tc>
        <w:tc>
          <w:tcPr>
            <w:tcW w:w="6663" w:type="dxa"/>
            <w:shd w:val="clear" w:color="auto" w:fill="70AD47" w:themeFill="accent6"/>
            <w:tcMar/>
          </w:tcPr>
          <w:p w:rsidR="4654FE23" w:rsidP="40A2305B" w:rsidRDefault="4654FE23" w14:paraId="3031959C" w14:textId="4039870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color w:val="1F3864" w:themeColor="accent1" w:themeTint="FF" w:themeShade="80"/>
                <w:sz w:val="28"/>
                <w:szCs w:val="28"/>
              </w:rPr>
            </w:pPr>
          </w:p>
        </w:tc>
      </w:tr>
      <w:tr w:rsidR="71244B8C" w:rsidTr="71244B8C" w14:paraId="1232D9F3">
        <w:trPr>
          <w:trHeight w:val="300"/>
        </w:trPr>
        <w:tc>
          <w:tcPr>
            <w:tcW w:w="4253" w:type="dxa"/>
            <w:shd w:val="clear" w:color="auto" w:fill="FFFFFF" w:themeFill="background1"/>
            <w:tcMar/>
          </w:tcPr>
          <w:p w:rsidR="71244B8C" w:rsidP="71244B8C" w:rsidRDefault="71244B8C" w14:paraId="78D915C2" w14:textId="18F96CE4">
            <w:pPr>
              <w:pStyle w:val="Normal"/>
              <w:spacing w:line="259" w:lineRule="auto"/>
              <w:jc w:val="left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 w:themeFill="background1"/>
            <w:tcMar/>
          </w:tcPr>
          <w:p w:rsidR="71244B8C" w:rsidP="71244B8C" w:rsidRDefault="71244B8C" w14:paraId="71F82264" w14:textId="05CD4C5A">
            <w:pPr>
              <w:pStyle w:val="Normal"/>
              <w:spacing w:line="259" w:lineRule="auto"/>
              <w:jc w:val="left"/>
              <w:rPr>
                <w:b w:val="1"/>
                <w:bCs w:val="1"/>
                <w:color w:val="1F3864" w:themeColor="accent1" w:themeTint="FF" w:themeShade="80"/>
                <w:sz w:val="28"/>
                <w:szCs w:val="28"/>
              </w:rPr>
            </w:pPr>
          </w:p>
        </w:tc>
      </w:tr>
    </w:tbl>
    <w:p w:rsidR="2192BEE5" w:rsidRDefault="2192BEE5" w14:paraId="320C9CA3" w14:textId="3DD842B9">
      <w:pPr>
        <w:rPr/>
      </w:pPr>
    </w:p>
    <w:p w:rsidR="2192BEE5" w:rsidRDefault="2192BEE5" w14:paraId="0600C2F8" w14:textId="06857C69">
      <w:pPr>
        <w:rPr/>
      </w:pPr>
    </w:p>
    <w:p w:rsidR="00F96424" w:rsidRDefault="00F96424" w14:paraId="53E524E3" w14:textId="77777777">
      <w:pPr>
        <w:rPr/>
      </w:pPr>
      <w:r>
        <w:br w:type="page"/>
      </w:r>
    </w:p>
    <w:p w:rsidRPr="00C220D3" w:rsidR="00BB3C99" w:rsidP="00BB3C99" w:rsidRDefault="00BB3C99" w14:paraId="38755AE9" w14:textId="77777777">
      <w:pPr>
        <w:rPr>
          <w:b/>
          <w:bCs/>
          <w:color w:val="1F3864" w:themeColor="accent1" w:themeShade="80"/>
          <w:sz w:val="28"/>
          <w:szCs w:val="28"/>
        </w:rPr>
      </w:pPr>
    </w:p>
    <w:sectPr w:rsidRPr="00C220D3" w:rsidR="00BB3C99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7BC6" w:rsidP="001F4747" w:rsidRDefault="00F67BC6" w14:paraId="29239799" w14:textId="77777777">
      <w:pPr>
        <w:spacing w:after="0" w:line="240" w:lineRule="auto"/>
      </w:pPr>
      <w:r>
        <w:separator/>
      </w:r>
    </w:p>
  </w:endnote>
  <w:endnote w:type="continuationSeparator" w:id="0">
    <w:p w:rsidR="00F67BC6" w:rsidP="001F4747" w:rsidRDefault="00F67BC6" w14:paraId="026382CD" w14:textId="77777777">
      <w:pPr>
        <w:spacing w:after="0" w:line="240" w:lineRule="auto"/>
      </w:pPr>
      <w:r>
        <w:continuationSeparator/>
      </w:r>
    </w:p>
  </w:endnote>
  <w:endnote w:type="continuationNotice" w:id="1">
    <w:p w:rsidR="00F67BC6" w:rsidRDefault="00F67BC6" w14:paraId="3E50AB5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7BC6" w:rsidP="001F4747" w:rsidRDefault="00F67BC6" w14:paraId="3AE30344" w14:textId="77777777">
      <w:pPr>
        <w:spacing w:after="0" w:line="240" w:lineRule="auto"/>
      </w:pPr>
      <w:r>
        <w:separator/>
      </w:r>
    </w:p>
  </w:footnote>
  <w:footnote w:type="continuationSeparator" w:id="0">
    <w:p w:rsidR="00F67BC6" w:rsidP="001F4747" w:rsidRDefault="00F67BC6" w14:paraId="718496C0" w14:textId="77777777">
      <w:pPr>
        <w:spacing w:after="0" w:line="240" w:lineRule="auto"/>
      </w:pPr>
      <w:r>
        <w:continuationSeparator/>
      </w:r>
    </w:p>
  </w:footnote>
  <w:footnote w:type="continuationNotice" w:id="1">
    <w:p w:rsidR="00F67BC6" w:rsidRDefault="00F67BC6" w14:paraId="18968EDC" w14:textId="77777777">
      <w:pPr>
        <w:spacing w:after="0" w:line="240" w:lineRule="auto"/>
      </w:pPr>
    </w:p>
  </w:footnote>
  <w:footnote w:id="2">
    <w:p w:rsidR="009E4D34" w:rsidP="00ED569C" w:rsidRDefault="009E4D34" w14:paraId="22812700" w14:textId="20E83274">
      <w:pPr>
        <w:pStyle w:val="FootnoteText"/>
        <w:ind w:left="-810" w:right="-1054"/>
      </w:pPr>
      <w:r>
        <w:rPr>
          <w:rStyle w:val="FootnoteReference"/>
        </w:rPr>
        <w:footnoteRef/>
      </w:r>
      <w:r>
        <w:t xml:space="preserve"> </w:t>
      </w:r>
      <w:r w:rsidRPr="009E4D34">
        <w:t>The Guidance on the FP Beef Roadmap is a dynamic document that will be revised as discussions on key topics evolve. Modifications to the document</w:t>
      </w:r>
      <w:r w:rsidR="00FC2297">
        <w:t xml:space="preserve"> to</w:t>
      </w:r>
      <w:r w:rsidRPr="009E4D34">
        <w:t xml:space="preserve"> integrat</w:t>
      </w:r>
      <w:r w:rsidR="00FC2297">
        <w:t>e</w:t>
      </w:r>
      <w:r w:rsidRPr="009E4D34">
        <w:t xml:space="preserve"> any comments will be considered on a regular basis</w:t>
      </w:r>
      <w:r w:rsidR="00477101">
        <w:t xml:space="preserve"> and the document will be updated when relevant.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F4747" w:rsidR="001F4747" w:rsidP="001F4747" w:rsidRDefault="001F4747" w14:paraId="0950B510" w14:textId="1ABCC8F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75ABFA" wp14:editId="01DB7CA4">
          <wp:simplePos x="0" y="0"/>
          <wp:positionH relativeFrom="column">
            <wp:posOffset>5311471</wp:posOffset>
          </wp:positionH>
          <wp:positionV relativeFrom="paragraph">
            <wp:posOffset>-227413</wp:posOffset>
          </wp:positionV>
          <wp:extent cx="1070914" cy="537755"/>
          <wp:effectExtent l="0" t="0" r="0" b="0"/>
          <wp:wrapSquare wrapText="bothSides"/>
          <wp:docPr id="7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914" cy="53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D5"/>
    <w:rsid w:val="00004685"/>
    <w:rsid w:val="0003235C"/>
    <w:rsid w:val="00052C29"/>
    <w:rsid w:val="00061ABF"/>
    <w:rsid w:val="00065382"/>
    <w:rsid w:val="000745FC"/>
    <w:rsid w:val="00082CBA"/>
    <w:rsid w:val="000B6ADD"/>
    <w:rsid w:val="000C3CC6"/>
    <w:rsid w:val="000C72A0"/>
    <w:rsid w:val="000E69C6"/>
    <w:rsid w:val="001059E1"/>
    <w:rsid w:val="00140CCA"/>
    <w:rsid w:val="00143E7D"/>
    <w:rsid w:val="00147CAF"/>
    <w:rsid w:val="001536AF"/>
    <w:rsid w:val="001568E9"/>
    <w:rsid w:val="00173F97"/>
    <w:rsid w:val="001964CE"/>
    <w:rsid w:val="001C1C91"/>
    <w:rsid w:val="001F40D5"/>
    <w:rsid w:val="001F4747"/>
    <w:rsid w:val="0023478C"/>
    <w:rsid w:val="002400AA"/>
    <w:rsid w:val="00253DFD"/>
    <w:rsid w:val="0025448E"/>
    <w:rsid w:val="00257CF1"/>
    <w:rsid w:val="002C19B3"/>
    <w:rsid w:val="00303457"/>
    <w:rsid w:val="003047AC"/>
    <w:rsid w:val="00314E43"/>
    <w:rsid w:val="00375A2C"/>
    <w:rsid w:val="003A2087"/>
    <w:rsid w:val="00452A28"/>
    <w:rsid w:val="00455FC6"/>
    <w:rsid w:val="00477101"/>
    <w:rsid w:val="00483B68"/>
    <w:rsid w:val="00491A1F"/>
    <w:rsid w:val="00497392"/>
    <w:rsid w:val="004A766F"/>
    <w:rsid w:val="004C44CD"/>
    <w:rsid w:val="004C67D5"/>
    <w:rsid w:val="004F24AB"/>
    <w:rsid w:val="004F37A4"/>
    <w:rsid w:val="00504217"/>
    <w:rsid w:val="00517E66"/>
    <w:rsid w:val="0054255C"/>
    <w:rsid w:val="00553B01"/>
    <w:rsid w:val="0056114F"/>
    <w:rsid w:val="005659D1"/>
    <w:rsid w:val="00583761"/>
    <w:rsid w:val="005B35CB"/>
    <w:rsid w:val="005B6C22"/>
    <w:rsid w:val="005C1560"/>
    <w:rsid w:val="005D5951"/>
    <w:rsid w:val="005F252B"/>
    <w:rsid w:val="005F5782"/>
    <w:rsid w:val="005F74E3"/>
    <w:rsid w:val="006142DC"/>
    <w:rsid w:val="00655E91"/>
    <w:rsid w:val="006747E2"/>
    <w:rsid w:val="0067735E"/>
    <w:rsid w:val="00683E1D"/>
    <w:rsid w:val="00696687"/>
    <w:rsid w:val="006A0141"/>
    <w:rsid w:val="006D5911"/>
    <w:rsid w:val="006E0775"/>
    <w:rsid w:val="006E10A7"/>
    <w:rsid w:val="00700771"/>
    <w:rsid w:val="0070699B"/>
    <w:rsid w:val="00753AC4"/>
    <w:rsid w:val="007B6240"/>
    <w:rsid w:val="007B6AE3"/>
    <w:rsid w:val="007D18AF"/>
    <w:rsid w:val="007E69FC"/>
    <w:rsid w:val="00822AD2"/>
    <w:rsid w:val="008270CD"/>
    <w:rsid w:val="00853C4C"/>
    <w:rsid w:val="008A4758"/>
    <w:rsid w:val="008A5E70"/>
    <w:rsid w:val="008A68AA"/>
    <w:rsid w:val="008B3493"/>
    <w:rsid w:val="008C1CFB"/>
    <w:rsid w:val="008D4124"/>
    <w:rsid w:val="008F1E8C"/>
    <w:rsid w:val="009042C8"/>
    <w:rsid w:val="00906B52"/>
    <w:rsid w:val="00911821"/>
    <w:rsid w:val="00970C6A"/>
    <w:rsid w:val="0098362B"/>
    <w:rsid w:val="009D0682"/>
    <w:rsid w:val="009D3C95"/>
    <w:rsid w:val="009D751D"/>
    <w:rsid w:val="009E4D34"/>
    <w:rsid w:val="00A56E1E"/>
    <w:rsid w:val="00AB1CE0"/>
    <w:rsid w:val="00AB3765"/>
    <w:rsid w:val="00AB3F1D"/>
    <w:rsid w:val="00AD21AD"/>
    <w:rsid w:val="00AF0120"/>
    <w:rsid w:val="00AF2D90"/>
    <w:rsid w:val="00B272E7"/>
    <w:rsid w:val="00B303C1"/>
    <w:rsid w:val="00BA20E5"/>
    <w:rsid w:val="00BB3C99"/>
    <w:rsid w:val="00BB7C8F"/>
    <w:rsid w:val="00BD6A15"/>
    <w:rsid w:val="00C0207E"/>
    <w:rsid w:val="00C06A4D"/>
    <w:rsid w:val="00C220D3"/>
    <w:rsid w:val="00C2588F"/>
    <w:rsid w:val="00C60D7D"/>
    <w:rsid w:val="00C67BA1"/>
    <w:rsid w:val="00C7795D"/>
    <w:rsid w:val="00C83B8B"/>
    <w:rsid w:val="00C9097F"/>
    <w:rsid w:val="00CA1FF9"/>
    <w:rsid w:val="00CD51F5"/>
    <w:rsid w:val="00D176D0"/>
    <w:rsid w:val="00D36549"/>
    <w:rsid w:val="00D711C3"/>
    <w:rsid w:val="00D71498"/>
    <w:rsid w:val="00DB0C57"/>
    <w:rsid w:val="00DB73E6"/>
    <w:rsid w:val="00DF69D5"/>
    <w:rsid w:val="00E70653"/>
    <w:rsid w:val="00EB6C96"/>
    <w:rsid w:val="00EC369C"/>
    <w:rsid w:val="00ED569C"/>
    <w:rsid w:val="00F114DA"/>
    <w:rsid w:val="00F220D1"/>
    <w:rsid w:val="00F230B1"/>
    <w:rsid w:val="00F67BC6"/>
    <w:rsid w:val="00F77C6F"/>
    <w:rsid w:val="00F84765"/>
    <w:rsid w:val="00F91B07"/>
    <w:rsid w:val="00F932F8"/>
    <w:rsid w:val="00F96424"/>
    <w:rsid w:val="00FA258D"/>
    <w:rsid w:val="00FA5269"/>
    <w:rsid w:val="00FC2297"/>
    <w:rsid w:val="00FD2CC1"/>
    <w:rsid w:val="00FD6861"/>
    <w:rsid w:val="010B75C0"/>
    <w:rsid w:val="043BAC6E"/>
    <w:rsid w:val="06FE1715"/>
    <w:rsid w:val="07A88F4B"/>
    <w:rsid w:val="09922F09"/>
    <w:rsid w:val="0AE2F70A"/>
    <w:rsid w:val="0B7A76F3"/>
    <w:rsid w:val="0B9D115F"/>
    <w:rsid w:val="0D4A3F55"/>
    <w:rsid w:val="0D852554"/>
    <w:rsid w:val="11AD7FA6"/>
    <w:rsid w:val="13D9C125"/>
    <w:rsid w:val="146E2109"/>
    <w:rsid w:val="16B280D7"/>
    <w:rsid w:val="19A17315"/>
    <w:rsid w:val="1A4CD46C"/>
    <w:rsid w:val="1B21AC8B"/>
    <w:rsid w:val="1B9DF77C"/>
    <w:rsid w:val="1C0D220C"/>
    <w:rsid w:val="1EF00DD6"/>
    <w:rsid w:val="1F32167D"/>
    <w:rsid w:val="1F3AD949"/>
    <w:rsid w:val="1FBF0B6B"/>
    <w:rsid w:val="2192BEE5"/>
    <w:rsid w:val="220938FF"/>
    <w:rsid w:val="22C678F8"/>
    <w:rsid w:val="256F84E8"/>
    <w:rsid w:val="25DF737D"/>
    <w:rsid w:val="274A18EA"/>
    <w:rsid w:val="27BC878C"/>
    <w:rsid w:val="29A117FF"/>
    <w:rsid w:val="2A59D226"/>
    <w:rsid w:val="2C45204C"/>
    <w:rsid w:val="2CC6BBFD"/>
    <w:rsid w:val="2CF04079"/>
    <w:rsid w:val="2ECEAE1C"/>
    <w:rsid w:val="30EF3C97"/>
    <w:rsid w:val="32A253A9"/>
    <w:rsid w:val="343709D4"/>
    <w:rsid w:val="343ACE77"/>
    <w:rsid w:val="349CF0B9"/>
    <w:rsid w:val="35846046"/>
    <w:rsid w:val="362BD5F3"/>
    <w:rsid w:val="3853FFA7"/>
    <w:rsid w:val="40A2305B"/>
    <w:rsid w:val="43023A0E"/>
    <w:rsid w:val="4378A5D6"/>
    <w:rsid w:val="43C340BB"/>
    <w:rsid w:val="44263BA9"/>
    <w:rsid w:val="45598F62"/>
    <w:rsid w:val="4654FE23"/>
    <w:rsid w:val="46BD62DB"/>
    <w:rsid w:val="478CBBE6"/>
    <w:rsid w:val="4AAACFA4"/>
    <w:rsid w:val="4B5113F2"/>
    <w:rsid w:val="4BFD5DA0"/>
    <w:rsid w:val="54C4C69D"/>
    <w:rsid w:val="54FFB0ED"/>
    <w:rsid w:val="56161482"/>
    <w:rsid w:val="56825AC9"/>
    <w:rsid w:val="56AB2B46"/>
    <w:rsid w:val="5D40ACB1"/>
    <w:rsid w:val="5F602D78"/>
    <w:rsid w:val="634788E9"/>
    <w:rsid w:val="63ABC260"/>
    <w:rsid w:val="651B3EB2"/>
    <w:rsid w:val="67DB51EA"/>
    <w:rsid w:val="68883F96"/>
    <w:rsid w:val="6A882A2A"/>
    <w:rsid w:val="6DD68449"/>
    <w:rsid w:val="6FCF0C48"/>
    <w:rsid w:val="70F155E6"/>
    <w:rsid w:val="71244B8C"/>
    <w:rsid w:val="71AB11B9"/>
    <w:rsid w:val="74B27EE4"/>
    <w:rsid w:val="74F18CC2"/>
    <w:rsid w:val="7625256F"/>
    <w:rsid w:val="765120B3"/>
    <w:rsid w:val="7689C449"/>
    <w:rsid w:val="77C0F5D0"/>
    <w:rsid w:val="78115A98"/>
    <w:rsid w:val="783365FF"/>
    <w:rsid w:val="78C3D52A"/>
    <w:rsid w:val="7A6F78D8"/>
    <w:rsid w:val="7E303754"/>
    <w:rsid w:val="7E30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1D418"/>
  <w15:chartTrackingRefBased/>
  <w15:docId w15:val="{243BA99F-4F1C-445C-9886-B4BD3C2E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C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822AD2"/>
    <w:pPr>
      <w:widowControl w:val="0"/>
      <w:autoSpaceDE w:val="0"/>
      <w:autoSpaceDN w:val="0"/>
      <w:spacing w:after="0" w:line="240" w:lineRule="auto"/>
      <w:ind w:left="113"/>
    </w:pPr>
    <w:rPr>
      <w:rFonts w:ascii="Arial" w:hAnsi="Arial" w:eastAsia="Arial" w:cs="Arial"/>
    </w:rPr>
  </w:style>
  <w:style w:type="paragraph" w:styleId="Header">
    <w:name w:val="header"/>
    <w:basedOn w:val="Normal"/>
    <w:link w:val="HeaderChar"/>
    <w:uiPriority w:val="99"/>
    <w:unhideWhenUsed/>
    <w:rsid w:val="001F474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4747"/>
  </w:style>
  <w:style w:type="paragraph" w:styleId="Footer">
    <w:name w:val="footer"/>
    <w:basedOn w:val="Normal"/>
    <w:link w:val="FooterChar"/>
    <w:uiPriority w:val="99"/>
    <w:unhideWhenUsed/>
    <w:rsid w:val="001F474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4747"/>
  </w:style>
  <w:style w:type="character" w:styleId="Hyperlink">
    <w:name w:val="Hyperlink"/>
    <w:basedOn w:val="DefaultParagraphFont"/>
    <w:uiPriority w:val="99"/>
    <w:unhideWhenUsed/>
    <w:rsid w:val="004F24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4AB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F84765"/>
  </w:style>
  <w:style w:type="character" w:styleId="eop" w:customStyle="1">
    <w:name w:val="eop"/>
    <w:basedOn w:val="DefaultParagraphFont"/>
    <w:rsid w:val="00F84765"/>
  </w:style>
  <w:style w:type="paragraph" w:styleId="FootnoteText">
    <w:name w:val="footnote text"/>
    <w:basedOn w:val="Normal"/>
    <w:link w:val="FootnoteTextChar"/>
    <w:uiPriority w:val="99"/>
    <w:semiHidden/>
    <w:unhideWhenUsed/>
    <w:rsid w:val="009E4D34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E4D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4D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microsoft.com/office/2011/relationships/people" Target="people.xml" Id="R04f76caa04084c3c" /><Relationship Type="http://schemas.microsoft.com/office/2011/relationships/commentsExtended" Target="commentsExtended.xml" Id="R88a9cf78ae1043e5" /><Relationship Type="http://schemas.microsoft.com/office/2016/09/relationships/commentsIds" Target="commentsIds.xml" Id="R015003ea296041f6" /><Relationship Type="http://schemas.openxmlformats.org/officeDocument/2006/relationships/hyperlink" Target="mailto:CGFRoadmaps@proforest.net" TargetMode="External" Id="Rf3f47e39ed65477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ECC8188B70D48846AF32A7FBB4FD9" ma:contentTypeVersion="15" ma:contentTypeDescription="Create a new document." ma:contentTypeScope="" ma:versionID="779479d5f316fee6d2972054caa1e23a">
  <xsd:schema xmlns:xsd="http://www.w3.org/2001/XMLSchema" xmlns:xs="http://www.w3.org/2001/XMLSchema" xmlns:p="http://schemas.microsoft.com/office/2006/metadata/properties" xmlns:ns2="eb47cc34-0c88-44b9-80ad-d194541d378e" xmlns:ns3="ea18f7b1-dd84-4584-a0b8-eae49be90457" xmlns:ns4="1836f983-db2d-418f-b1b3-0e1226dee6ea" xmlns:ns5="e2190b11-ab46-4579-8297-190569076f63" targetNamespace="http://schemas.microsoft.com/office/2006/metadata/properties" ma:root="true" ma:fieldsID="82f7a4388a79d51e7a02b8c480dc4682" ns2:_="" ns3:_="" ns4:_="" ns5:_="">
    <xsd:import namespace="eb47cc34-0c88-44b9-80ad-d194541d378e"/>
    <xsd:import namespace="ea18f7b1-dd84-4584-a0b8-eae49be90457"/>
    <xsd:import namespace="1836f983-db2d-418f-b1b3-0e1226dee6ea"/>
    <xsd:import namespace="e2190b11-ab46-4579-8297-190569076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5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cc34-0c88-44b9-80ad-d194541d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dee87a9-8457-4547-bef1-602f9a74a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8f7b1-dd84-4584-a0b8-eae49be904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0b0ef5b-9c43-4a10-b60d-2722a1756ef8}" ma:internalName="TaxCatchAll" ma:showField="CatchAllData" ma:web="ea18f7b1-dd84-4584-a0b8-eae49be904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f983-db2d-418f-b1b3-0e1226dee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0b11-ab46-4579-8297-190569076f6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18f7b1-dd84-4584-a0b8-eae49be90457" xsi:nil="true"/>
    <lcf76f155ced4ddcb4097134ff3c332f xmlns="eb47cc34-0c88-44b9-80ad-d194541d37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9D6CF79-6077-4528-A4AE-DD099B2A6A61}"/>
</file>

<file path=customXml/itemProps2.xml><?xml version="1.0" encoding="utf-8"?>
<ds:datastoreItem xmlns:ds="http://schemas.openxmlformats.org/officeDocument/2006/customXml" ds:itemID="{FD27F750-C19B-4658-A61D-5589A720C1B0}">
  <ds:schemaRefs>
    <ds:schemaRef ds:uri="http://schemas.microsoft.com/office/2006/metadata/properties"/>
    <ds:schemaRef ds:uri="http://schemas.microsoft.com/office/infopath/2007/PartnerControls"/>
    <ds:schemaRef ds:uri="ea18f7b1-dd84-4584-a0b8-eae49be90457"/>
    <ds:schemaRef ds:uri="eb47cc34-0c88-44b9-80ad-d194541d378e"/>
  </ds:schemaRefs>
</ds:datastoreItem>
</file>

<file path=customXml/itemProps3.xml><?xml version="1.0" encoding="utf-8"?>
<ds:datastoreItem xmlns:ds="http://schemas.openxmlformats.org/officeDocument/2006/customXml" ds:itemID="{9956C3F2-769D-497E-BB44-B6D15004F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30EAB-3116-401B-90E7-BEFE9E492FF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Lorena Massimino</dc:creator>
  <keywords/>
  <dc:description/>
  <lastModifiedBy>Larissa Monteiro</lastModifiedBy>
  <revision>140</revision>
  <dcterms:created xsi:type="dcterms:W3CDTF">2022-07-22T00:35:00.0000000Z</dcterms:created>
  <dcterms:modified xsi:type="dcterms:W3CDTF">2024-03-15T18:22:25.9112066Z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0x010100907ECC8188B70D48846AF32A7FBB4FD9</vt:lpwstr>
  </property>
  <property fmtid="{D5CDD505-2E9C-101B-9397-08002B2CF9AE}" pid="3" name="MediaServiceImageTags">
    <vt:lpwstr/>
  </property>
</Properties>
</file>